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0" w:beforeAutospacing="0" w:after="740" w:afterAutospacing="0" w:line="640" w:lineRule="atLeast"/>
        <w:ind w:left="0" w:right="0" w:firstLine="0"/>
        <w:jc w:val="center"/>
        <w:rPr>
          <w:rFonts w:ascii="Microsoft Yahei" w:hAnsi="Microsoft Yahei" w:eastAsia="Microsoft Yahei" w:cs="Microsoft Yahei"/>
          <w:i w:val="0"/>
          <w:iCs w:val="0"/>
          <w:caps w:val="0"/>
          <w:color w:val="000000"/>
          <w:spacing w:val="0"/>
          <w:sz w:val="48"/>
          <w:szCs w:val="48"/>
          <w:u w:val="none"/>
        </w:rPr>
      </w:pPr>
      <w:bookmarkStart w:id="0" w:name="_GoBack"/>
      <w:r>
        <w:rPr>
          <w:rFonts w:hint="default" w:ascii="Microsoft Yahei" w:hAnsi="Microsoft Yahei" w:eastAsia="Microsoft Yahei" w:cs="Microsoft Yahei"/>
          <w:i w:val="0"/>
          <w:iCs w:val="0"/>
          <w:caps w:val="0"/>
          <w:color w:val="000000"/>
          <w:spacing w:val="0"/>
          <w:sz w:val="48"/>
          <w:szCs w:val="48"/>
          <w:u w:val="none"/>
          <w:bdr w:val="none" w:color="auto" w:sz="0" w:space="0"/>
        </w:rPr>
        <w:t>关于可转换公司债券适当性管理相关事项的通知</w:t>
      </w:r>
    </w:p>
    <w:bookmarkEnd w:id="0"/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999999"/>
          <w:spacing w:val="0"/>
          <w:kern w:val="0"/>
          <w:sz w:val="28"/>
          <w:szCs w:val="28"/>
          <w:u w:val="none"/>
          <w:lang w:val="en-US" w:eastAsia="zh-CN" w:bidi="ar"/>
        </w:rPr>
        <w:t>时间：2022-06-17 来源：上海证券交易所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40" w:afterAutospacing="0" w:line="560" w:lineRule="atLeast"/>
        <w:ind w:left="0" w:right="0" w:firstLine="420"/>
        <w:jc w:val="center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</w:rPr>
        <w:t>上证发〔2022〕91号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40" w:afterAutospacing="0" w:line="560" w:lineRule="atLeast"/>
        <w:ind w:left="0" w:right="0" w:firstLine="420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</w:rPr>
        <w:t>各市场参与人：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40" w:afterAutospacing="0" w:line="560" w:lineRule="atLeast"/>
        <w:ind w:left="0" w:right="0" w:firstLine="420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</w:rPr>
        <w:t>为保护投资者合法权益，维护证券市场秩序，根据《可转换公司债券管理办法》等相关规定，经中国证监会批准，上海证券交易所（以下简称本所）现就上市公司可转换公司债券（以下简称可转债）适当性管理相关事项通知如下：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40" w:afterAutospacing="0" w:line="560" w:lineRule="atLeast"/>
        <w:ind w:left="0" w:right="0" w:firstLine="420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</w:rPr>
        <w:t>一、会员应当建立可转债适当性管理制度，评估投资者的风险认知程度和承受能力，向投资者全面介绍可转债特征和制度规则，充分揭示投资风险。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40" w:afterAutospacing="0" w:line="560" w:lineRule="atLeast"/>
        <w:ind w:left="0" w:right="0" w:firstLine="420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</w:rPr>
        <w:t>投资者应当充分知悉和了解可转债相关风险事项、法律法规和本所业务规则，结合自身风险认知程度和承受能力，审慎判断是否参与相关业务。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40" w:afterAutospacing="0" w:line="560" w:lineRule="atLeast"/>
        <w:ind w:left="0" w:right="0" w:firstLine="420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</w:rPr>
        <w:t>二、个人投资者参与向不特定对象发行的可转债申购、交易，应当同时符合下列条件：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40" w:afterAutospacing="0" w:line="560" w:lineRule="atLeast"/>
        <w:ind w:left="0" w:right="0" w:firstLine="420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</w:rPr>
        <w:t>（一）申请权限开通前 20 个交易日证券账户及资金账户内的资产日均不低于人民币 10 万元（不包括该投资者通过融资融券融入的资金和证券）；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40" w:afterAutospacing="0" w:line="560" w:lineRule="atLeast"/>
        <w:ind w:left="0" w:right="0" w:firstLine="420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</w:rPr>
        <w:t>（二）参与证券交易24个月以上。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40" w:afterAutospacing="0" w:line="560" w:lineRule="atLeast"/>
        <w:ind w:left="0" w:right="0" w:firstLine="420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</w:rPr>
        <w:t>本通知施行前已开通向不特定对象发行的可转债交易权限，且未销户的个人投资者，不适用前款规定。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40" w:afterAutospacing="0" w:line="560" w:lineRule="atLeast"/>
        <w:ind w:left="0" w:right="0" w:firstLine="420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</w:rPr>
        <w:t>三、普通投资者参与向不特定对象发行的可转债申购、交易的，应当以纸面或者电子方式签署《向不特定对象发行的可转换公司债券投资风险揭示书》。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40" w:afterAutospacing="0" w:line="560" w:lineRule="atLeast"/>
        <w:ind w:left="0" w:right="0" w:firstLine="420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</w:rPr>
        <w:t>四、参与向特定对象发行的可转债转让的投资者，应当为符合《证券期货投资者适当性管理办法》规定条件的专业投资者。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40" w:afterAutospacing="0" w:line="560" w:lineRule="atLeast"/>
        <w:ind w:left="0" w:right="0" w:firstLine="420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</w:rPr>
        <w:t>五、上市公司控股股东、实际控制人、持有5%以上股份的股东、董事、监事、高级管理人员参与本公司可转债申购、交易、转让的，不适用本通知第二条至第四条的规定。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40" w:afterAutospacing="0" w:line="560" w:lineRule="atLeast"/>
        <w:ind w:left="0" w:right="0" w:firstLine="420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</w:rPr>
        <w:t>六、会员应当认真落实本通知各项要求，尽快完成相关技术改造。在技术改造完成前，会员应当通过合理方式办理可转债权限开通，确保投资者权利不受影响。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40" w:afterAutospacing="0" w:line="560" w:lineRule="atLeast"/>
        <w:ind w:left="0" w:right="0" w:firstLine="420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</w:rPr>
        <w:t>七、本通知自2022年6月18日起实施。本所其他业务规则与本通知规定不一致的，以本通知为准。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40" w:afterAutospacing="0" w:line="560" w:lineRule="atLeast"/>
        <w:ind w:left="0" w:right="0" w:firstLine="420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</w:rPr>
        <w:t>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40" w:afterAutospacing="0" w:line="560" w:lineRule="atLeast"/>
        <w:ind w:left="0" w:right="0" w:firstLine="420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</w:rPr>
        <w:t>特此通知。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40" w:afterAutospacing="0" w:line="560" w:lineRule="atLeast"/>
        <w:ind w:left="0" w:right="0" w:firstLine="420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</w:rPr>
        <w:t> 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40" w:afterAutospacing="0" w:line="560" w:lineRule="atLeast"/>
        <w:ind w:left="0" w:right="0" w:firstLine="420"/>
        <w:jc w:val="right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</w:rPr>
        <w:t>上海证券交易所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40" w:afterAutospacing="0" w:line="560" w:lineRule="atLeast"/>
        <w:ind w:left="0" w:right="0" w:firstLine="420"/>
        <w:jc w:val="right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</w:rPr>
        <w:t>二〇二二年六月十七日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Microsoft Yahe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64D655C"/>
    <w:rsid w:val="964D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Office_5.0.0.7550_F1E327BC-269C-435d-A152-05C5408002CA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2022-12-05T14:16:00Z</dcterms:created>
  <dc:creator>马酉泉</dc:creator>
  <cp:lastModifiedBy>马酉泉</cp:lastModifiedBy>
  <dcterms:modified xsi:type="dcterms:W3CDTF">2022-12-05T14:16:19Z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DEE40A04D1E520DEA28C8D63F429D92C</vt:lpwstr>
  </property>
</Properties>
</file>